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0"/>
      </w:pPr>
      <w:r>
        <w:rPr>
          <w:b/>
          <w:bCs/>
          <w:color w:val="8A6D1F"/>
          <w:sz w:val="18"/>
          <w:szCs w:val="18"/>
        </w:rPr>
        <w:t xml:space="preserve">CMMC 2.0  |  LEVEL 2  |  NIST SP 800-171 REV. 2</w:t>
      </w:r>
    </w:p>
    <w:p>
      <w:pPr>
        <w:spacing w:after="120"/>
      </w:pPr>
      <w:r>
        <w:rPr>
          <w:b/>
          <w:bCs/>
          <w:color w:val="1F2933"/>
          <w:sz w:val="52"/>
          <w:szCs w:val="52"/>
        </w:rPr>
        <w:t xml:space="preserve">Artificial Intelligence Risk Management Plan</w:t>
      </w:r>
    </w:p>
    <w:p>
      <w:pPr>
        <w:spacing w:after="480"/>
      </w:pPr>
      <w:r>
        <w:rPr>
          <w:color w:val="52606D"/>
          <w:sz w:val="24"/>
          <w:szCs w:val="24"/>
        </w:rPr>
        <w:t xml:space="preserve">CMMC Level 2 / NIST SP 800-171 Rev. 2 — Generative AI Use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Version</w:t>
            </w:r>
          </w:p>
        </w:tc>
        <w:tc>
          <w:tcPr>
            <w:tcW w:type="dxa" w:w="6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Effective date</w:t>
            </w:r>
          </w:p>
        </w:tc>
        <w:tc>
          <w:tcPr>
            <w:tcW w:type="dxa" w:w="6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31 July 2026</w:t>
            </w:r>
          </w:p>
        </w:tc>
      </w:tr>
      <w:tr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Plan owner</w:t>
            </w:r>
          </w:p>
        </w:tc>
        <w:tc>
          <w:tcPr>
            <w:tcW w:type="dxa" w:w="6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Information System Security Manager (ISSM)</w:t>
            </w:r>
          </w:p>
        </w:tc>
      </w:tr>
      <w:tr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Review cycle</w:t>
            </w:r>
          </w:p>
        </w:tc>
        <w:tc>
          <w:tcPr>
            <w:tcW w:type="dxa" w:w="6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Annually, or upon material change to AI tooling or CUI scope</w:t>
            </w:r>
          </w:p>
        </w:tc>
      </w:tr>
      <w:tr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Classification</w:t>
            </w:r>
          </w:p>
        </w:tc>
        <w:tc>
          <w:tcPr>
            <w:tcW w:type="dxa" w:w="6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Internal Use Only — Not CUI</w:t>
            </w:r>
          </w:p>
        </w:tc>
      </w:tr>
    </w:tbl>
    <w:p>
      <w:pPr>
        <w:spacing w:before="400"/>
      </w:pPr>
      <w:r>
        <w:rPr>
          <w:i/>
          <w:iCs/>
          <w:color w:val="52606D"/>
          <w:sz w:val="18"/>
          <w:szCs w:val="18"/>
        </w:rPr>
        <w:t xml:space="preserve">This document is a tailorable template. Adapt the boundary, vendor terms, and control implementations to your environment before using it as assessment evidence. It is not legal advice and does not constitute CMMC certification.</w:t>
      </w:r>
    </w:p>
    <w:p>
      <w:r>
        <w:br w:type="page"/>
      </w:r>
    </w:p>
    <w:p>
      <w:pPr>
        <w:pStyle w:val="Heading1"/>
        <w:spacing w:after="160" w:before="320"/>
      </w:pPr>
      <w:r>
        <w:t xml:space="preserve">1. Purpose &amp; Scope</w:t>
      </w:r>
    </w:p>
    <w:p>
      <w:pPr>
        <w:spacing w:after="120"/>
      </w:pPr>
      <w:r>
        <w:t xml:space="preserve">This plan establishes how the organization identifies, assesses, treats, and monitors risk introduced by artificial intelligence — with emphasis on generative AI (GenAI) assistants, copilots, and embedded model features — within and adjacent to the CMMC Level 2 assessment boundary.</w:t>
      </w:r>
    </w:p>
    <w:p>
      <w:pPr>
        <w:spacing w:after="120"/>
      </w:pPr>
      <w:r>
        <w:t xml:space="preserve">Scope covers all commercial and self-hosted AI services, browser extensions, IDE copilots, meeting transcription, and any model-backed feature reachable from endpoints, networks, or cloud tenants that store, process, or transmit Controlled Unclassified Information (CUI) or Federal Contract Information (FCI).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 scope: GenAI chat assistants, code copilots, transcription/summarization, RAG over internal repositories, AI features bundled into approved SaaS.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Out of scope: deterministic automation with no model inference, and AI use on fully segregated non-CUI networks with no data path to the enclave.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Authoritative control set: NIST SP 800-171 Rev. 2 (110 controls) as assessed under CMMC 2.0 Level 2; risk process aligned to NIST SP 800-30 and the NIST AI Risk Management Framework (AI RMF 1.0).</w:t>
      </w:r>
    </w:p>
    <w:p>
      <w:pPr>
        <w:pStyle w:val="Heading1"/>
        <w:spacing w:after="160" w:before="320"/>
      </w:pPr>
      <w:r>
        <w:t xml:space="preserve">2. Governance &amp; Roles</w:t>
      </w:r>
    </w:p>
    <w:p>
      <w:pPr>
        <w:spacing w:after="120"/>
      </w:pPr>
      <w:r>
        <w:t xml:space="preserve">AI risk is owned by named individuals, not by committee consensus. The following assignments satisfy 3.12.x (Security Assessment) accountability expectations.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Senior Accountable Official — accepts residual AI risk in writing; approves any exception permitting CUI in a model service.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ISSM — maintains this plan, the AI tool inventory, and the AI risk register; briefs risk posture quarterly.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AI Review Board (ISSM, IT lead, contracts/export control, legal) — adjudicates new AI tool requests within 10 business days.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System Owners — validate that approved AI tools remain inside documented boundaries and CUI flows.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Personnel — complete AI acceptable-use training before access; report suspected CUI disclosure to a model within 1 hour.</w:t>
      </w:r>
    </w:p>
    <w:p>
      <w:pPr>
        <w:pStyle w:val="Heading1"/>
        <w:spacing w:after="160" w:before="320"/>
      </w:pPr>
      <w:r>
        <w:t xml:space="preserve">3. AI Asset Inventory &amp; Data Flow</w:t>
      </w:r>
    </w:p>
    <w:p>
      <w:pPr>
        <w:spacing w:after="120"/>
      </w:pPr>
      <w:r>
        <w:t xml:space="preserve">No AI tool may be used until inventoried. The inventory is a controlled artifact reviewed monthly and is a required input to the System Security Plan (SSP).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Recorded per tool: vendor, hosting region, model provider and subprocessors, authentication method, data retention and training-use terms, FedRAMP status, CUI authorization (Yes/No), business owner.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 flow diagrams must show every path where prompts, files, code, or telemetry leave the enclave boundary.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Tools processing CUI must be FedRAMP Moderate (or equivalent) with a DFARS 252.204-7012 flowdown and cloud-incident-reporting commitment; commercial consumer tiers are prohibited for CUI.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Unapproved AI endpoints are blocked at the egress proxy and via endpoint application control; discovery scans run weekly.</w:t>
      </w:r>
    </w:p>
    <w:p>
      <w:pPr>
        <w:pStyle w:val="Heading1"/>
        <w:spacing w:after="160" w:before="320"/>
      </w:pPr>
      <w:r>
        <w:t xml:space="preserve">4. Risk Assessment Methodology</w:t>
      </w:r>
    </w:p>
    <w:p>
      <w:pPr>
        <w:spacing w:after="120"/>
      </w:pPr>
      <w:r>
        <w:t xml:space="preserve">Risks are scored using NIST SP 800-30 likelihood × impact on a 5×5 matrix. Impact considers CUI confidentiality first, then mission integrity and availability.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Likelihood: 1 Rare, 2 Unlikely, 3 Possible, 4 Likely, 5 Almost Certain.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Impact: 1 Negligible, 3 Moderate (limited internal harm), 5 Severe (CUI spillage, contract loss, DoD reporting obligation).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Risk score = L × I. Treatment thresholds: 1–6 Low (accept/monitor), 8–12 Moderate (mitigate within 90 days), 15–25 High (mitigate within 30 days or prohibit the use case).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Assessments are re-run on new tool onboarding, model or terms-of-service change, incident, and at minimum annually.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Unmitigated Moderate/High risks become POA&amp;M items with milestones, owners, and completion dates.</w:t>
      </w:r>
    </w:p>
    <w:p>
      <w:pPr>
        <w:pStyle w:val="Heading1"/>
        <w:spacing w:after="160" w:before="320"/>
      </w:pPr>
      <w:r>
        <w:t xml:space="preserve">5. AI Risk Register</w:t>
      </w:r>
    </w:p>
    <w:p>
      <w:pPr>
        <w:spacing w:after="160"/>
      </w:pPr>
      <w:r>
        <w:t xml:space="preserve">Inherent (pre-treatment) risk scores. Residual scores and POA&amp;M linkage are maintained in the live register by the ISSM.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950"/>
        <w:gridCol w:w="3010"/>
        <w:gridCol w:w="1400"/>
        <w:gridCol w:w="1000"/>
        <w:gridCol w:w="1100"/>
      </w:tblGrid>
      <w:tr>
        <w:trPr>
          <w:tblHeader/>
        </w:trP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Risk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800-171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Score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Rating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AI-R01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CUI disclosure via prompt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Personnel paste CUI into a public GenAI assistant, exporting it outside the assessment boundary.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3.1.3, 3.13.1, 3.8.3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4x5=20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BE3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AI-R02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Shadow AI adoption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Unapproved AI SaaS or browser extensions introduced without review or contract flowdown.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3.4.6, 3.4.8, 3.12.3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4x4=16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BE3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AI-R03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Vendor training on customer data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Model provider or subprocessor retains prompts for training, defeating retention and residency requirements.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3.1.20, 3.13.2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3x5=15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BE3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AI-R04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Insecure AI-generated code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Copilot output introduces injection flaws, weak crypto, or vulnerable dependencies into production.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3.14.1, 3.14.2, 3.4.1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4x4=16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BE3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AI-R05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Prompt injection / RAG poisoning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Untrusted content in documents or web pages manipulates an agent into exfiltrating or corrupting data.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3.13.4, 3.14.6, 3.1.5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3x4=12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CF1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Moderate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AI-R06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Over-reliance on hallucinated output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Inaccurate model output enters engineering analyses, compliance artifacts, or customer deliverables.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3.14.1, 3.12.1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4x3=12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CF1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Moderate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AI-R07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Credential and API key exposure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Keys embedded in prompts, notebooks, or repos grant unauthorized model and data access.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3.5.2, 3.5.10, 3.1.1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3x5=15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BE3E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High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AI-R08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Insufficient AI audit evidence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Absent prompt/response logging prevents incident scoping and assessment evidence.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3.3.1, 3.3.2, 3.3.5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3x3=9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CF1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Moderate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AI-R09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Export-control violation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ITAR/EAR technical data processed by a model with foreign-person access or offshore hosting.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3.1.3, 3.13.1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2x5=10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CF1D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Moderate</w:t>
            </w:r>
          </w:p>
        </w:tc>
      </w:tr>
      <w:tr>
        <w:tc>
          <w:tcPr>
            <w:tcW w:type="dxa" w:w="9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AI-R10</w:t>
            </w:r>
          </w:p>
        </w:tc>
        <w:tc>
          <w:tcPr>
            <w:tcW w:type="dxa" w:w="195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Availability dependence on AI vendor</w:t>
            </w:r>
          </w:p>
        </w:tc>
        <w:tc>
          <w:tcPr>
            <w:tcW w:type="dxa" w:w="301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Workflow disruption from vendor outage, deprecation, or abrupt model behavior change.</w:t>
            </w:r>
          </w:p>
        </w:tc>
        <w:tc>
          <w:tcPr>
            <w:tcW w:type="dxa" w:w="14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3.6.1, 3.4.1</w:t>
            </w:r>
          </w:p>
        </w:tc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3x2=6</w:t>
            </w:r>
          </w:p>
        </w:tc>
        <w:tc>
          <w:tcPr>
            <w:tcW w:type="dxa" w:w="11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E4F3E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center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Low</w:t>
            </w:r>
          </w:p>
        </w:tc>
      </w:tr>
    </w:tbl>
    <w:p>
      <w:pPr>
        <w:pStyle w:val="Heading2"/>
        <w:spacing w:after="140" w:before="280"/>
      </w:pPr>
      <w:r>
        <w:t xml:space="preserve">5.1 Risk Treatment Plan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2600"/>
        <w:gridCol w:w="5760"/>
      </w:tblGrid>
      <w:tr>
        <w:trPr>
          <w:tblHeader/>
        </w:trP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Risk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1F29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Treatment / mitigating actions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AI-R01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CUI disclosure via prompt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Egress allowlist, DLP prompt inspection, CUI-authorized tool only, mandatory training, quarterly attestation.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AI-R02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Shadow AI adoption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Application allowlisting, weekly CASB/proxy discovery, fast-path review board to reduce workaround incentive.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AI-R03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Vendor training on customer data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Contractual no-training and zero-retention terms, FedRAMP Moderate baseline, annual vendor re-verification.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AI-R04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Insecure AI-generated code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Mandatory SAST/SCA gates, human code review, secure-coding training for copilot users.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AI-R05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Prompt injection / RAG poisoning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Least-privilege tool scopes, no autonomous write actions on CUI stores, content provenance filtering, output monitoring.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AI-R06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Over-reliance on hallucinated output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Human-in-the-loop review requirement, citation verification, prohibition on AI-authored compliance evidence.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AI-R07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Credential and API key exposure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Secrets manager, 90-day rotation, pre-commit secret scanning, per-service scoped keys.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AI-R08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Insufficient AI audit evidence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Enable enterprise audit logging, forward to SIEM, define retention aligned to the audit standard.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AI-R09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Export-control violation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US-person-only, US-region hosting attestation; export control officer sign-off before authorization.</w:t>
            </w:r>
          </w:p>
        </w:tc>
      </w:tr>
      <w:tr>
        <w:tc>
          <w:tcPr>
            <w:tcW w:type="dxa" w:w="10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AI-R10</w:t>
            </w:r>
          </w:p>
        </w:tc>
        <w:tc>
          <w:tcPr>
            <w:tcW w:type="dxa" w:w="260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Availability dependence on AI vendor</w:t>
            </w:r>
          </w:p>
        </w:tc>
        <w:tc>
          <w:tcPr>
            <w:tcW w:type="dxa" w:w="576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1F2933"/>
                <w:sz w:val="18"/>
                <w:szCs w:val="18"/>
              </w:rPr>
              <w:t xml:space="preserve">Documented manual fallback, pinned model versions where offered, change-notification monitoring.</w:t>
            </w:r>
          </w:p>
        </w:tc>
      </w:tr>
    </w:tbl>
    <w:p>
      <w:pPr>
        <w:pStyle w:val="Heading1"/>
        <w:spacing w:after="160" w:before="320"/>
      </w:pPr>
      <w:r>
        <w:t xml:space="preserve">6. Control Implementation for AI</w:t>
      </w:r>
    </w:p>
    <w:p>
      <w:pPr>
        <w:spacing w:after="120"/>
      </w:pPr>
      <w:r>
        <w:t xml:space="preserve">Existing 800-171 controls are extended — not duplicated — to cover model interactions.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Access Control (3.1): AI tools authorized for CUI are behind SSO with MFA and role-scoped access; no shared or personal accounts; session data confined to the enclave.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Awareness &amp; Training (3.2): annual AI acceptable-use module covering prompt hygiene, marking, hallucination risk, and reporting; role-based training for developers using copilots.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Audit &amp; Accountability (3.3): prompt/response logging for CUI-authorized tools, retained per the audit retention standard and reviewed for anomalous data volume.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Configuration Management (3.4): AI features disabled by default in approved SaaS; enablement follows change control with documented security impact analysis.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Identification &amp; Authentication (3.5): API keys stored in the secrets manager, rotated at least every 90 days, never embedded in prompts, notebooks, or repositories.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Incident Response (3.6): AI disclosure scenarios embedded in the IR plan and exercised annually; 72-hour DoD reporting path preserved for CUI incidents.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Media Protection (3.8): model outputs derived from CUI inherit CUI marking and handling; exports restricted to approved repositories.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System &amp; Communications Protection (3.13): TLS-enforced egress via proxy allowlist; DLP inspection of prompts for CUI indicators and marking strings.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System &amp; Information Integrity (3.14): model outputs used in code, engineering, or contract deliverables require documented human review before release.</w:t>
      </w:r>
    </w:p>
    <w:p>
      <w:pPr>
        <w:pStyle w:val="Heading1"/>
        <w:spacing w:after="160" w:before="320"/>
      </w:pPr>
      <w:r>
        <w:t xml:space="preserve">7. Acceptable Use Rules for Generative AI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Never paste CUI, ITAR/EAR technical data, export-controlled drawings, or contract deliverables into a tool not explicitly CUI-authorized in the inventory.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Treat every prompt as potentially retained and human-reviewed by the vendor unless contract terms prove otherwise.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AI-generated code must pass SAST, dependency scanning, and license review before merge; a human engineer owns the commit.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AI output may inform but never solely determine security decisions, personnel actions, or contractual representations.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Disclose material AI assistance in deliverables where the contract or customer requires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Consumer accounts, personal devices, and unmanaged browser extensions are prohibited for any company work.</w:t>
      </w:r>
    </w:p>
    <w:p>
      <w:pPr>
        <w:pStyle w:val="Heading1"/>
        <w:spacing w:after="160" w:before="320"/>
      </w:pPr>
      <w:r>
        <w:t xml:space="preserve">8. Monitoring, Metrics &amp; Continuous Improvement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Monthly: shadow-AI discovery report, egress allowlist deltas, DLP prompt-block counts.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Quarterly: risk register review with the AI Review Board; residual risk briefed to the Senior Accountable Official.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Annually: full reassessment, tabletop exercise including an AI CUI-disclosure scenario, and plan revision.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Key metrics: % AI tools inventoried, % personnel trained, mean time to detect unapproved AI use, count of DLP prompt blocks, open AI POA&amp;M items past due.</w:t>
      </w:r>
    </w:p>
    <w:p>
      <w:pPr>
        <w:pStyle w:val="Heading1"/>
        <w:spacing w:after="160" w:before="320"/>
      </w:pPr>
      <w:r>
        <w:t xml:space="preserve">9. AI Incident Response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Detect — DLP alert, user report, egress anomaly, or vendor notification.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Contain — revoke tokens, disable the integration, block the endpoint, preserve prompt/response logs.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Assess — determine whether CUI was involved; if yes, activate the DFARS 252.204-7012 72-hour reporting path to DIBNet.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Eradicate &amp; Recover — remove data via vendor deletion request, obtain written confirmation, re-baseline affected accounts.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Learn — root-cause analysis, register update, control change, and targeted retraining within 30 days.</w:t>
      </w:r>
    </w:p>
    <w:p>
      <w:pPr>
        <w:pStyle w:val="Heading1"/>
        <w:spacing w:after="160" w:before="320"/>
      </w:pPr>
      <w:r>
        <w:t xml:space="preserve">10. Approval</w:t>
      </w:r>
    </w:p>
    <w:p>
      <w:pPr>
        <w:spacing w:after="200"/>
      </w:pPr>
      <w:r>
        <w:t xml:space="preserve">By signing below, the undersigned accept the residual risk described in this plan and commit to the stated control implementations and review cadence.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Senior Accountable Official</w:t>
            </w:r>
          </w:p>
        </w:tc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ISSM</w:t>
            </w:r>
          </w:p>
        </w:tc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shd w:fill="F1F3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1F2933"/>
                <w:sz w:val="18"/>
                <w:szCs w:val="18"/>
              </w:rPr>
              <w:t xml:space="preserve">Contracts / Export Control</w:t>
            </w:r>
          </w:p>
        </w:tc>
      </w:tr>
      <w:tr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40" w:before="240"/>
            </w:pPr>
            <w:r>
              <w:rPr>
                <w:color w:val="9AA5B1"/>
                <w:sz w:val="18"/>
                <w:szCs w:val="18"/>
              </w:rPr>
              <w:t xml:space="preserve">Name / Signature / Date</w:t>
            </w:r>
          </w:p>
        </w:tc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40" w:before="240"/>
            </w:pPr>
            <w:r>
              <w:rPr>
                <w:color w:val="9AA5B1"/>
                <w:sz w:val="18"/>
                <w:szCs w:val="18"/>
              </w:rPr>
              <w:t xml:space="preserve">Name / Signature / Date</w:t>
            </w:r>
          </w:p>
        </w:tc>
        <w:tc>
          <w:tcPr>
            <w:tcW w:type="dxa" w:w="3120"/>
            <w:tcBorders>
              <w:top w:val="single" w:color="C9CFD6" w:sz="1"/>
              <w:left w:val="single" w:color="C9CFD6" w:sz="1"/>
              <w:bottom w:val="single" w:color="C9CFD6" w:sz="1"/>
              <w:right w:val="single" w:color="C9CFD6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40" w:before="240"/>
            </w:pPr>
            <w:r>
              <w:rPr>
                <w:color w:val="9AA5B1"/>
                <w:sz w:val="18"/>
                <w:szCs w:val="18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AA5B1"/>
        <w:sz w:val="16"/>
        <w:szCs w:val="16"/>
      </w:rPr>
      <w:t xml:space="preserve">Artificial Intelligence Risk Management Plan  |  v1.0  |  Page </w:t>
    </w:r>
    <w:r>
      <w:rPr>
        <w:color w:val="9AA5B1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AA5B1"/>
        <w:sz w:val="16"/>
        <w:szCs w:val="16"/>
      </w:rPr>
      <w:t xml:space="preserve">Internal Use Only — Not CUI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0"/>
        <w:szCs w:val="20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933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3E4C59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2026-07-31T13:33:35.384Z</dcterms:created>
  <dcterms:modified xsi:type="dcterms:W3CDTF">2026-07-31T13:33:35.384Z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